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980"/>
        </w:tabs>
        <w:spacing w:after="6"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DECLARAÇÃO PARA EDIFICAÇÕES E ATIVIDADES                                                           CLASSIFICADAS COMO DE BAIXO RISCO DE INCÊNDIO PARA LIBERAÇÃO DE HABITE-SE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1"/>
        <w:tblW w:w="9984.0" w:type="dxa"/>
        <w:jc w:val="left"/>
        <w:tblInd w:w="-110.0" w:type="dxa"/>
        <w:tblLayout w:type="fixed"/>
        <w:tblLook w:val="0000"/>
      </w:tblPr>
      <w:tblGrid>
        <w:gridCol w:w="691"/>
        <w:gridCol w:w="5601"/>
        <w:gridCol w:w="1532"/>
        <w:gridCol w:w="2160"/>
        <w:tblGridChange w:id="0">
          <w:tblGrid>
            <w:gridCol w:w="691"/>
            <w:gridCol w:w="5601"/>
            <w:gridCol w:w="1532"/>
            <w:gridCol w:w="2160"/>
          </w:tblGrid>
        </w:tblGridChange>
      </w:tblGrid>
      <w:tr>
        <w:trPr>
          <w:cantSplit w:val="0"/>
          <w:trHeight w:val="405" w:hRule="atLeast"/>
          <w:tblHeader w:val="0"/>
        </w:trPr>
        <w:tc>
          <w:tcPr>
            <w:shd w:fill="auto" w:val="clea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Eu,</w:t>
            </w:r>
          </w:p>
        </w:tc>
        <w:tc>
          <w:tcPr>
            <w:shd w:fill="auto" w:val="cle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CPF/CNPJ   n°</w:t>
            </w:r>
          </w:p>
        </w:tc>
        <w:tc>
          <w:tcPr>
            <w:shd w:fill="ffffff"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5" w:hRule="atLeast"/>
          <w:tblHeader w:val="0"/>
        </w:trPr>
        <w:tc>
          <w:tcPr>
            <w:shd w:fill="auto" w:val="cle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w:t>
            </w:r>
          </w:p>
        </w:tc>
        <w:tc>
          <w:tcPr>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1"/>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0A">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CAU/CREA  n°</w:t>
            </w:r>
          </w:p>
        </w:tc>
        <w:tc>
          <w:tcPr>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991.0" w:type="dxa"/>
        <w:jc w:val="left"/>
        <w:tblInd w:w="-110.0" w:type="dxa"/>
        <w:tblLayout w:type="fixed"/>
        <w:tblLook w:val="0000"/>
      </w:tblPr>
      <w:tblGrid>
        <w:gridCol w:w="6293"/>
        <w:gridCol w:w="750"/>
        <w:gridCol w:w="781"/>
        <w:gridCol w:w="693"/>
        <w:gridCol w:w="737"/>
        <w:gridCol w:w="737"/>
        <w:tblGridChange w:id="0">
          <w:tblGrid>
            <w:gridCol w:w="6293"/>
            <w:gridCol w:w="750"/>
            <w:gridCol w:w="781"/>
            <w:gridCol w:w="693"/>
            <w:gridCol w:w="737"/>
            <w:gridCol w:w="737"/>
          </w:tblGrid>
        </w:tblGridChange>
      </w:tblGrid>
      <w:tr>
        <w:trPr>
          <w:cantSplit w:val="0"/>
          <w:trHeight w:val="405" w:hRule="atLeast"/>
          <w:tblHeader w:val="0"/>
        </w:trPr>
        <w:tc>
          <w:tcPr>
            <w:shd w:fill="auto" w:val="cle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Declaramos que a edificação construída/regularizada no setor </w:t>
            </w:r>
            <w:r w:rsidDel="00000000" w:rsidR="00000000" w:rsidRPr="00000000">
              <w:rPr>
                <w:rtl w:val="0"/>
              </w:rPr>
            </w:r>
          </w:p>
        </w:tc>
        <w:tc>
          <w:tcPr>
            <w:shd w:fill="auto"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quadra</w:t>
            </w:r>
          </w:p>
        </w:tc>
        <w:tc>
          <w:tcPr>
            <w:shd w:fill="auto" w:val="cle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lote</w:t>
            </w:r>
          </w:p>
        </w:tc>
        <w:tc>
          <w:tcPr>
            <w:shd w:fill="auto"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e6e6e6"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9980.0" w:type="dxa"/>
        <w:jc w:val="left"/>
        <w:tblInd w:w="-110.0" w:type="dxa"/>
        <w:tblLayout w:type="fixed"/>
        <w:tblLook w:val="0000"/>
      </w:tblPr>
      <w:tblGrid>
        <w:gridCol w:w="9980"/>
        <w:tblGridChange w:id="0">
          <w:tblGrid>
            <w:gridCol w:w="9980"/>
          </w:tblGrid>
        </w:tblGridChange>
      </w:tblGrid>
      <w:tr>
        <w:trPr>
          <w:cantSplit w:val="0"/>
          <w:trHeight w:val="405" w:hRule="atLeast"/>
          <w:tblHeader w:val="0"/>
        </w:trPr>
        <w:tc>
          <w:tcPr>
            <w:shd w:fill="auto"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a área de risco de incêndio são classificadas como baixo risco de incêndio, atendendo todos os requisitos da Resolução Técnica CBMRS n° 05, parte 02/2022 - Processo de Segurança Contra Incêndio: Atividades de Baixo Risco de Incêndio, que estabelece os requisitos de segurança para as atividades de baixo risco de incêndio, conforme Lei Complementar n.º 14.376, de 26 de dezembro de 2013, e suas alterações, e Decreto Estadual n.º 51.803, de 10 de setembro de 2014, e suas alterações, estando dispensada do licenciamento junto ao Corpo de Bombeiros Militar do Rio Grande do Sul - CBMRS.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Declaramos também, que foi realizada a instalação e manutenção das medidas de segurança contra incêndio previstas na legislação.</w:t>
            </w:r>
          </w:p>
        </w:tc>
      </w:tr>
    </w:tb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83" w:before="0" w:line="480" w:lineRule="auto"/>
        <w:ind w:left="0" w:right="0" w:firstLine="1417"/>
        <w:jc w:val="righ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Lajeado, ____/____/____</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935" distR="114935" hidden="0" layoutInCell="1" locked="0" relativeHeight="0" simplePos="0">
                <wp:simplePos x="0" y="0"/>
                <wp:positionH relativeFrom="column">
                  <wp:posOffset>-75564</wp:posOffset>
                </wp:positionH>
                <wp:positionV relativeFrom="paragraph">
                  <wp:posOffset>50800</wp:posOffset>
                </wp:positionV>
                <wp:extent cx="6336665" cy="432435"/>
                <wp:effectExtent b="0" l="0" r="0" t="0"/>
                <wp:wrapNone/>
                <wp:docPr id="1" name=""/>
                <a:graphic>
                  <a:graphicData uri="http://schemas.microsoft.com/office/word/2010/wordprocessingShape">
                    <wps:wsp>
                      <wps:cNvSpPr/>
                      <wps:cNvPr id="2" name="Shape 2"/>
                      <wps:spPr>
                        <a:xfrm>
                          <a:off x="2182430" y="3568545"/>
                          <a:ext cx="6327140" cy="42291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t xml:space="preserve">Assinatura RT:_____________________________           	Assinatura Proprietário :______________________</w:t>
                            </w:r>
                            <w:r w:rsidDel="00000000" w:rsidR="00000000" w:rsidRPr="00000000">
                              <w:rPr>
                                <w:rFonts w:ascii="Arial" w:cs="Arial" w:eastAsia="Arial" w:hAnsi="Arial"/>
                                <w:b w:val="0"/>
                                <w:i w:val="0"/>
                                <w:smallCaps w:val="0"/>
                                <w:strike w:val="0"/>
                                <w:color w:val="000000"/>
                                <w:sz w:val="18"/>
                                <w:vertAlign w:val="baseline"/>
                              </w:rPr>
                              <w:br w:type="textWrapping"/>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w:cs="Times" w:eastAsia="Times" w:hAnsi="Times"/>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18"/>
                                <w:vertAlign w:val="baseline"/>
                              </w:rPr>
                              <w:t xml:space="preserve">    Nome:					     		      Nome:</w:t>
                            </w:r>
                          </w:p>
                        </w:txbxContent>
                      </wps:txbx>
                      <wps:bodyPr anchorCtr="0" anchor="t" bIns="6975" lIns="6975" spcFirstLastPara="1" rIns="6975" wrap="square" tIns="6975">
                        <a:noAutofit/>
                      </wps:bodyPr>
                    </wps:wsp>
                  </a:graphicData>
                </a:graphic>
              </wp:anchor>
            </w:drawing>
          </mc:Choice>
          <mc:Fallback>
            <w:drawing>
              <wp:anchor allowOverlap="1" behindDoc="0" distB="0" distT="0" distL="114935" distR="114935" hidden="0" layoutInCell="1" locked="0" relativeHeight="0" simplePos="0">
                <wp:simplePos x="0" y="0"/>
                <wp:positionH relativeFrom="column">
                  <wp:posOffset>-75564</wp:posOffset>
                </wp:positionH>
                <wp:positionV relativeFrom="paragraph">
                  <wp:posOffset>50800</wp:posOffset>
                </wp:positionV>
                <wp:extent cx="6336665" cy="432435"/>
                <wp:effectExtent b="0" l="0" r="0" t="0"/>
                <wp:wrapNone/>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336665" cy="432435"/>
                        </a:xfrm>
                        <a:prstGeom prst="rect"/>
                        <a:ln/>
                      </pic:spPr>
                    </pic:pic>
                  </a:graphicData>
                </a:graphic>
              </wp:anchor>
            </w:drawing>
          </mc:Fallback>
        </mc:AlternateConten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sectPr>
      <w:headerReference r:id="rId7" w:type="default"/>
      <w:footerReference r:id="rId8" w:type="default"/>
      <w:pgSz w:h="15840" w:w="12240" w:orient="portrait"/>
      <w:pgMar w:bottom="776" w:top="1834" w:left="1134" w:right="1134" w:header="56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Secretaria de Planejamento, Urbanismo e Mobilidade – Rua Cel. Júlio May, 242 – Centro</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Lajeado/RS – CEP 95900-178 – Fone: (51) 3982-1065 – E-mail: seplan@lajeado.rs.gov.br</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544"/>
      </w:tabs>
      <w:spacing w:after="6" w:before="0" w:line="240" w:lineRule="auto"/>
      <w:ind w:left="2494" w:right="0"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9525</wp:posOffset>
          </wp:positionH>
          <wp:positionV relativeFrom="paragraph">
            <wp:posOffset>30480</wp:posOffset>
          </wp:positionV>
          <wp:extent cx="1602105" cy="593090"/>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1"/>
                  <a:srcRect b="-401" l="-148" r="-148" t="-401"/>
                  <a:stretch>
                    <a:fillRect/>
                  </a:stretch>
                </pic:blipFill>
                <pic:spPr>
                  <a:xfrm>
                    <a:off x="0" y="0"/>
                    <a:ext cx="1602105" cy="593090"/>
                  </a:xfrm>
                  <a:prstGeom prst="rect"/>
                  <a:ln/>
                </pic:spPr>
              </pic:pic>
            </a:graphicData>
          </a:graphic>
        </wp:anchor>
      </w:drawing>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544"/>
      </w:tabs>
      <w:spacing w:after="6" w:before="0" w:line="240" w:lineRule="auto"/>
      <w:ind w:left="2494"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SECRETARIA MUNICIPAL DE PLANEJAMENTO, URBANISMO E    MOBILIDADE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980"/>
      </w:tabs>
      <w:spacing w:after="6" w:before="0" w:line="240" w:lineRule="auto"/>
      <w:ind w:left="2494"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pt-P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i w:val="1"/>
      <w:smallCaps w:val="0"/>
      <w:strike w:val="0"/>
      <w:color w:val="000000"/>
      <w:sz w:val="28"/>
      <w:szCs w:val="28"/>
      <w:u w:val="none"/>
      <w:shd w:fill="auto" w:val="clear"/>
      <w:vertAlign w:val="baseline"/>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